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67" w:rsidRDefault="00166667" w:rsidP="00166667">
      <w:pPr>
        <w:pStyle w:val="Paragraphedeliste"/>
        <w:numPr>
          <w:ilvl w:val="0"/>
          <w:numId w:val="1"/>
        </w:numPr>
        <w:outlineLvl w:val="1"/>
        <w:rPr>
          <w:sz w:val="24"/>
          <w:szCs w:val="24"/>
          <w:u w:val="single"/>
        </w:rPr>
      </w:pPr>
      <w:bookmarkStart w:id="0" w:name="_Toc383079913"/>
      <w:r>
        <w:rPr>
          <w:sz w:val="24"/>
          <w:szCs w:val="24"/>
          <w:u w:val="single"/>
        </w:rPr>
        <w:t xml:space="preserve">Réseau </w:t>
      </w:r>
      <w:r w:rsidRPr="00C57B20">
        <w:rPr>
          <w:i/>
          <w:sz w:val="24"/>
          <w:szCs w:val="24"/>
          <w:u w:val="single"/>
        </w:rPr>
        <w:t>Ifremer</w:t>
      </w:r>
      <w:r>
        <w:rPr>
          <w:sz w:val="24"/>
          <w:szCs w:val="24"/>
          <w:u w:val="single"/>
        </w:rPr>
        <w:t xml:space="preserve"> - </w:t>
      </w:r>
      <w:proofErr w:type="spellStart"/>
      <w:r w:rsidRPr="00C57B20">
        <w:rPr>
          <w:i/>
          <w:sz w:val="24"/>
          <w:szCs w:val="24"/>
          <w:u w:val="single"/>
        </w:rPr>
        <w:t>Cedre</w:t>
      </w:r>
      <w:bookmarkEnd w:id="0"/>
      <w:proofErr w:type="spellEnd"/>
    </w:p>
    <w:p w:rsidR="00166667" w:rsidRDefault="00166667" w:rsidP="00166667">
      <w:pPr>
        <w:spacing w:after="0"/>
      </w:pPr>
      <w:r>
        <w:t xml:space="preserve">L’architecture réseau mis en place sur le site du </w:t>
      </w:r>
      <w:proofErr w:type="spellStart"/>
      <w:r w:rsidRPr="00940616">
        <w:rPr>
          <w:i/>
        </w:rPr>
        <w:t>Cedre</w:t>
      </w:r>
      <w:proofErr w:type="spellEnd"/>
      <w:r>
        <w:t>, s’appuie sur celle de l</w:t>
      </w:r>
      <w:r w:rsidRPr="003A0FCF">
        <w:t>'</w:t>
      </w:r>
      <w:r w:rsidRPr="003A0FCF">
        <w:rPr>
          <w:b/>
        </w:rPr>
        <w:t>Institut français de recherche pour l'exploitation de la mer</w:t>
      </w:r>
      <w:r>
        <w:t xml:space="preserve"> (</w:t>
      </w:r>
      <w:r w:rsidRPr="00C57B20">
        <w:rPr>
          <w:i/>
        </w:rPr>
        <w:t>Ifremer</w:t>
      </w:r>
      <w:r>
        <w:t>)</w:t>
      </w:r>
      <w:r w:rsidRPr="00940616">
        <w:t xml:space="preserve"> </w:t>
      </w:r>
      <w:r>
        <w:t xml:space="preserve">de Brest. Le réseau informatique du </w:t>
      </w:r>
      <w:proofErr w:type="spellStart"/>
      <w:r w:rsidRPr="00C57B20">
        <w:rPr>
          <w:i/>
        </w:rPr>
        <w:t>Cedre</w:t>
      </w:r>
      <w:proofErr w:type="spellEnd"/>
      <w:r>
        <w:t xml:space="preserve"> est hébergé par l’</w:t>
      </w:r>
      <w:r w:rsidRPr="00940616">
        <w:rPr>
          <w:i/>
        </w:rPr>
        <w:t>Ifremer</w:t>
      </w:r>
      <w:r>
        <w:t xml:space="preserve">, le </w:t>
      </w:r>
      <w:proofErr w:type="spellStart"/>
      <w:r w:rsidRPr="005E6680">
        <w:rPr>
          <w:i/>
        </w:rPr>
        <w:t>Cedre</w:t>
      </w:r>
      <w:proofErr w:type="spellEnd"/>
      <w:r>
        <w:t xml:space="preserve"> est considéré comme un site distant. Les deux sites sont raccordés par le réseau fibre optique de Brest Métropole Océane (réseau INFUSER).</w:t>
      </w:r>
    </w:p>
    <w:p w:rsidR="00166667" w:rsidRDefault="00166667" w:rsidP="00166667">
      <w:pPr>
        <w:spacing w:after="0"/>
      </w:pPr>
    </w:p>
    <w:p w:rsidR="00166667" w:rsidRDefault="00166667" w:rsidP="00166667">
      <w:pPr>
        <w:spacing w:after="0"/>
      </w:pPr>
      <w:r>
        <w:t>Dans le cadre d’une convention d’assistance, l’équipe informatique de l’</w:t>
      </w:r>
      <w:r w:rsidRPr="008D0E9F">
        <w:rPr>
          <w:i/>
        </w:rPr>
        <w:t>Ifremer</w:t>
      </w:r>
      <w:r>
        <w:t xml:space="preserve"> soutient l’informatique du </w:t>
      </w:r>
      <w:proofErr w:type="spellStart"/>
      <w:r w:rsidRPr="008D0E9F">
        <w:rPr>
          <w:i/>
        </w:rPr>
        <w:t>Cedre</w:t>
      </w:r>
      <w:proofErr w:type="spellEnd"/>
      <w:r>
        <w:t xml:space="preserve"> et est chargée de la gestion des utilisateurs, des groupes d’utilisateurs et des autorisations associées (Active Directory). </w:t>
      </w:r>
    </w:p>
    <w:p w:rsidR="00166667" w:rsidRDefault="00166667" w:rsidP="00166667">
      <w:pPr>
        <w:spacing w:after="0"/>
      </w:pPr>
    </w:p>
    <w:p w:rsidR="00166667" w:rsidRDefault="00166667" w:rsidP="00166667">
      <w:pPr>
        <w:spacing w:after="0"/>
      </w:pPr>
      <w:r w:rsidRPr="007D002D">
        <w:t xml:space="preserve">Le </w:t>
      </w:r>
      <w:proofErr w:type="spellStart"/>
      <w:r w:rsidRPr="00C57B20">
        <w:rPr>
          <w:i/>
        </w:rPr>
        <w:t>Cedre</w:t>
      </w:r>
      <w:proofErr w:type="spellEnd"/>
      <w:r>
        <w:t xml:space="preserve"> est équipé d’un réseau</w:t>
      </w:r>
      <w:r w:rsidRPr="007D002D">
        <w:t xml:space="preserve"> Wif</w:t>
      </w:r>
      <w:r>
        <w:t xml:space="preserve">i sécurisé par un serveur d’authentification UCOPIA de type Radius. Cette connexion ADSL totalement indépendante du réseau local est principalement destinée aux visiteurs extérieurs. </w:t>
      </w:r>
      <w:r>
        <w:br/>
      </w:r>
    </w:p>
    <w:p w:rsidR="00166667" w:rsidRDefault="00166667" w:rsidP="00166667">
      <w:r>
        <w:object w:dxaOrig="16155" w:dyaOrig="11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14.25pt" o:ole="">
            <v:imagedata r:id="rId6" o:title=""/>
          </v:shape>
          <o:OLEObject Type="Embed" ProgID="Visio.Drawing.15" ShapeID="_x0000_i1025" DrawAspect="Content" ObjectID="_1604832170" r:id="rId7"/>
        </w:object>
      </w:r>
    </w:p>
    <w:p w:rsidR="00166667" w:rsidRPr="009F3451" w:rsidRDefault="00166667" w:rsidP="00166667">
      <w:pPr>
        <w:pStyle w:val="Paragraphedeliste"/>
        <w:numPr>
          <w:ilvl w:val="0"/>
          <w:numId w:val="1"/>
        </w:numPr>
        <w:outlineLvl w:val="1"/>
        <w:rPr>
          <w:sz w:val="24"/>
          <w:szCs w:val="24"/>
          <w:u w:val="single"/>
        </w:rPr>
      </w:pPr>
      <w:bookmarkStart w:id="1" w:name="_Toc383079914"/>
      <w:r w:rsidRPr="009F3451">
        <w:rPr>
          <w:sz w:val="24"/>
          <w:szCs w:val="24"/>
          <w:u w:val="single"/>
        </w:rPr>
        <w:t>Les serveurs</w:t>
      </w:r>
      <w:bookmarkEnd w:id="1"/>
    </w:p>
    <w:p w:rsidR="00166667" w:rsidRDefault="00166667" w:rsidP="00166667">
      <w:r w:rsidRPr="00AD5F30">
        <w:t xml:space="preserve">Les serveurs du </w:t>
      </w:r>
      <w:proofErr w:type="spellStart"/>
      <w:r w:rsidRPr="00AD5F30">
        <w:rPr>
          <w:i/>
        </w:rPr>
        <w:t>Cedre</w:t>
      </w:r>
      <w:proofErr w:type="spellEnd"/>
      <w:r w:rsidRPr="00AD5F30">
        <w:t xml:space="preserve"> sont partiellement </w:t>
      </w:r>
      <w:proofErr w:type="spellStart"/>
      <w:r w:rsidRPr="00AD5F30">
        <w:t>virtualisés</w:t>
      </w:r>
      <w:proofErr w:type="spellEnd"/>
      <w:r w:rsidRPr="00AD5F30">
        <w:t xml:space="preserve"> sur deux </w:t>
      </w:r>
      <w:r>
        <w:t>machines physiques</w:t>
      </w:r>
      <w:r w:rsidRPr="00AD5F30">
        <w:t xml:space="preserve"> </w:t>
      </w:r>
      <w:r w:rsidRPr="002811E9">
        <w:rPr>
          <w:b/>
        </w:rPr>
        <w:t xml:space="preserve">Dell </w:t>
      </w:r>
      <w:proofErr w:type="spellStart"/>
      <w:r w:rsidRPr="002811E9">
        <w:rPr>
          <w:b/>
        </w:rPr>
        <w:t>PowerEdge</w:t>
      </w:r>
      <w:proofErr w:type="spellEnd"/>
      <w:r w:rsidRPr="002811E9">
        <w:rPr>
          <w:b/>
        </w:rPr>
        <w:t xml:space="preserve"> R610</w:t>
      </w:r>
      <w:r>
        <w:t xml:space="preserve">. Chacun possèdent comme caractéristiques principales : </w:t>
      </w: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70"/>
      </w:tblGrid>
      <w:tr w:rsidR="00166667" w:rsidTr="004F14CA">
        <w:tc>
          <w:tcPr>
            <w:tcW w:w="4970" w:type="dxa"/>
          </w:tcPr>
          <w:p w:rsidR="00166667" w:rsidRDefault="00166667" w:rsidP="004F14CA">
            <w:pPr>
              <w:jc w:val="center"/>
            </w:pPr>
            <w:r>
              <w:t>2 x CPU E5540 2.53Ghz</w:t>
            </w:r>
          </w:p>
        </w:tc>
      </w:tr>
      <w:tr w:rsidR="00166667" w:rsidTr="004F14CA">
        <w:tc>
          <w:tcPr>
            <w:tcW w:w="4970" w:type="dxa"/>
          </w:tcPr>
          <w:p w:rsidR="00166667" w:rsidRDefault="00166667" w:rsidP="004F14CA">
            <w:pPr>
              <w:jc w:val="center"/>
            </w:pPr>
            <w:r>
              <w:t>32 Go de ram</w:t>
            </w:r>
          </w:p>
        </w:tc>
      </w:tr>
    </w:tbl>
    <w:p w:rsidR="00166667" w:rsidRDefault="00166667" w:rsidP="00166667"/>
    <w:p w:rsidR="00166667" w:rsidRDefault="00166667" w:rsidP="00166667">
      <w:pPr>
        <w:jc w:val="center"/>
        <w:rPr>
          <w:i/>
        </w:rPr>
      </w:pPr>
    </w:p>
    <w:p w:rsidR="00166667" w:rsidRPr="005D20D0" w:rsidRDefault="00166667" w:rsidP="00166667">
      <w:pPr>
        <w:jc w:val="center"/>
        <w:rPr>
          <w:i/>
        </w:rPr>
      </w:pPr>
      <w:r>
        <w:rPr>
          <w:i/>
        </w:rPr>
        <w:t>Vous pouvez retrouver en Annexe</w:t>
      </w:r>
      <w:r w:rsidRPr="00AD5F30">
        <w:rPr>
          <w:i/>
        </w:rPr>
        <w:t xml:space="preserve"> </w:t>
      </w:r>
      <w:r>
        <w:rPr>
          <w:i/>
        </w:rPr>
        <w:t>une présentation de la virtualisation</w:t>
      </w:r>
      <w:r w:rsidRPr="00AD5F30">
        <w:rPr>
          <w:i/>
        </w:rPr>
        <w:t>.</w:t>
      </w:r>
    </w:p>
    <w:p w:rsidR="00166667" w:rsidRDefault="00166667" w:rsidP="00166667">
      <w:r>
        <w:lastRenderedPageBreak/>
        <w:t>C</w:t>
      </w:r>
      <w:r w:rsidRPr="00AD5F30">
        <w:t>es deux serveurs accueillent 8 serveurs virtuels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66667" w:rsidTr="004F14CA">
        <w:trPr>
          <w:jc w:val="center"/>
        </w:trPr>
        <w:tc>
          <w:tcPr>
            <w:tcW w:w="3070" w:type="dxa"/>
            <w:shd w:val="clear" w:color="auto" w:fill="4BACC6" w:themeFill="accent5"/>
          </w:tcPr>
          <w:p w:rsidR="00166667" w:rsidRDefault="00166667" w:rsidP="004F14CA">
            <w:pPr>
              <w:jc w:val="center"/>
            </w:pPr>
            <w:r>
              <w:t>Nom</w:t>
            </w:r>
          </w:p>
        </w:tc>
        <w:tc>
          <w:tcPr>
            <w:tcW w:w="3071" w:type="dxa"/>
            <w:shd w:val="clear" w:color="auto" w:fill="4BACC6" w:themeFill="accent5"/>
          </w:tcPr>
          <w:p w:rsidR="00166667" w:rsidRDefault="00166667" w:rsidP="004F14CA">
            <w:pPr>
              <w:jc w:val="center"/>
            </w:pPr>
            <w:r>
              <w:t>Rôle</w:t>
            </w:r>
          </w:p>
        </w:tc>
        <w:tc>
          <w:tcPr>
            <w:tcW w:w="3071" w:type="dxa"/>
            <w:shd w:val="clear" w:color="auto" w:fill="4BACC6" w:themeFill="accent5"/>
          </w:tcPr>
          <w:p w:rsidR="00166667" w:rsidRDefault="00166667" w:rsidP="004F14CA">
            <w:pPr>
              <w:jc w:val="center"/>
            </w:pPr>
            <w:r>
              <w:t>Système d’exploitation</w:t>
            </w:r>
          </w:p>
        </w:tc>
      </w:tr>
      <w:tr w:rsidR="00166667" w:rsidTr="004F14CA">
        <w:trPr>
          <w:jc w:val="center"/>
        </w:trPr>
        <w:tc>
          <w:tcPr>
            <w:tcW w:w="3070" w:type="dxa"/>
            <w:shd w:val="clear" w:color="auto" w:fill="DBE5F1" w:themeFill="accent1" w:themeFillTint="33"/>
          </w:tcPr>
          <w:p w:rsidR="00166667" w:rsidRDefault="00166667" w:rsidP="004F14CA">
            <w:r>
              <w:t>CEDREVCENTER</w:t>
            </w:r>
          </w:p>
        </w:tc>
        <w:tc>
          <w:tcPr>
            <w:tcW w:w="3071" w:type="dxa"/>
            <w:shd w:val="clear" w:color="auto" w:fill="DBE5F1" w:themeFill="accent1" w:themeFillTint="33"/>
          </w:tcPr>
          <w:p w:rsidR="00166667" w:rsidRDefault="00166667" w:rsidP="004F14CA">
            <w:r>
              <w:t xml:space="preserve">Serveur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vCenter</w:t>
            </w:r>
            <w:proofErr w:type="spellEnd"/>
          </w:p>
        </w:tc>
        <w:tc>
          <w:tcPr>
            <w:tcW w:w="3071" w:type="dxa"/>
            <w:shd w:val="clear" w:color="auto" w:fill="DBE5F1" w:themeFill="accent1" w:themeFillTint="33"/>
          </w:tcPr>
          <w:p w:rsidR="00166667" w:rsidRDefault="00166667" w:rsidP="004F14CA">
            <w:r>
              <w:t>Windows serveur 2003</w:t>
            </w:r>
          </w:p>
        </w:tc>
      </w:tr>
      <w:tr w:rsidR="00166667" w:rsidTr="004F14CA">
        <w:trPr>
          <w:jc w:val="center"/>
        </w:trPr>
        <w:tc>
          <w:tcPr>
            <w:tcW w:w="3070" w:type="dxa"/>
            <w:shd w:val="clear" w:color="auto" w:fill="DBE5F1" w:themeFill="accent1" w:themeFillTint="33"/>
          </w:tcPr>
          <w:p w:rsidR="00166667" w:rsidRDefault="00166667" w:rsidP="004F14CA">
            <w:r>
              <w:t>NTCEDRE</w:t>
            </w:r>
          </w:p>
        </w:tc>
        <w:tc>
          <w:tcPr>
            <w:tcW w:w="3071" w:type="dxa"/>
            <w:shd w:val="clear" w:color="auto" w:fill="DBE5F1" w:themeFill="accent1" w:themeFillTint="33"/>
          </w:tcPr>
          <w:p w:rsidR="00166667" w:rsidRDefault="00166667" w:rsidP="004F14CA">
            <w:r>
              <w:t>Contrôleur de domaine et serveur d’impression</w:t>
            </w:r>
          </w:p>
        </w:tc>
        <w:tc>
          <w:tcPr>
            <w:tcW w:w="3071" w:type="dxa"/>
            <w:shd w:val="clear" w:color="auto" w:fill="DBE5F1" w:themeFill="accent1" w:themeFillTint="33"/>
          </w:tcPr>
          <w:p w:rsidR="00166667" w:rsidRDefault="00166667" w:rsidP="004F14CA">
            <w:r>
              <w:t>Windows serveur 2003</w:t>
            </w:r>
          </w:p>
        </w:tc>
      </w:tr>
      <w:tr w:rsidR="00166667" w:rsidTr="004F14CA">
        <w:trPr>
          <w:jc w:val="center"/>
        </w:trPr>
        <w:tc>
          <w:tcPr>
            <w:tcW w:w="3070" w:type="dxa"/>
            <w:shd w:val="clear" w:color="auto" w:fill="DBE5F1" w:themeFill="accent1" w:themeFillTint="33"/>
          </w:tcPr>
          <w:p w:rsidR="00166667" w:rsidRDefault="00166667" w:rsidP="004F14CA">
            <w:r>
              <w:t>NTERIKA</w:t>
            </w:r>
          </w:p>
        </w:tc>
        <w:tc>
          <w:tcPr>
            <w:tcW w:w="3071" w:type="dxa"/>
            <w:shd w:val="clear" w:color="auto" w:fill="DBE5F1" w:themeFill="accent1" w:themeFillTint="33"/>
          </w:tcPr>
          <w:p w:rsidR="00166667" w:rsidRDefault="00166667" w:rsidP="004F14CA">
            <w:r>
              <w:t>Serveur de base de données et logiciels analyses</w:t>
            </w:r>
          </w:p>
        </w:tc>
        <w:tc>
          <w:tcPr>
            <w:tcW w:w="3071" w:type="dxa"/>
            <w:shd w:val="clear" w:color="auto" w:fill="DBE5F1" w:themeFill="accent1" w:themeFillTint="33"/>
          </w:tcPr>
          <w:p w:rsidR="00166667" w:rsidRDefault="00166667" w:rsidP="004F14CA">
            <w:r>
              <w:t>Windows serveur 2008-R2</w:t>
            </w:r>
          </w:p>
        </w:tc>
      </w:tr>
      <w:tr w:rsidR="00166667" w:rsidTr="004F14CA">
        <w:trPr>
          <w:jc w:val="center"/>
        </w:trPr>
        <w:tc>
          <w:tcPr>
            <w:tcW w:w="3070" w:type="dxa"/>
            <w:shd w:val="clear" w:color="auto" w:fill="DBE5F1" w:themeFill="accent1" w:themeFillTint="33"/>
          </w:tcPr>
          <w:p w:rsidR="00166667" w:rsidRDefault="00166667" w:rsidP="004F14CA">
            <w:r>
              <w:t>NTKIMYA</w:t>
            </w:r>
          </w:p>
        </w:tc>
        <w:tc>
          <w:tcPr>
            <w:tcW w:w="3071" w:type="dxa"/>
            <w:shd w:val="clear" w:color="auto" w:fill="DBE5F1" w:themeFill="accent1" w:themeFillTint="33"/>
          </w:tcPr>
          <w:p w:rsidR="00166667" w:rsidRDefault="00166667" w:rsidP="004F14CA">
            <w:r>
              <w:t>Serveur d’administration Kaspersky</w:t>
            </w:r>
          </w:p>
        </w:tc>
        <w:tc>
          <w:tcPr>
            <w:tcW w:w="3071" w:type="dxa"/>
            <w:shd w:val="clear" w:color="auto" w:fill="DBE5F1" w:themeFill="accent1" w:themeFillTint="33"/>
          </w:tcPr>
          <w:p w:rsidR="00166667" w:rsidRDefault="00166667" w:rsidP="004F14CA">
            <w:r>
              <w:t>Windows serveur 2008-R2</w:t>
            </w:r>
          </w:p>
        </w:tc>
      </w:tr>
      <w:tr w:rsidR="00166667" w:rsidTr="004F14CA">
        <w:trPr>
          <w:jc w:val="center"/>
        </w:trPr>
        <w:tc>
          <w:tcPr>
            <w:tcW w:w="3070" w:type="dxa"/>
            <w:shd w:val="clear" w:color="auto" w:fill="FABF8F" w:themeFill="accent6" w:themeFillTint="99"/>
          </w:tcPr>
          <w:p w:rsidR="00166667" w:rsidRDefault="00166667" w:rsidP="004F14CA">
            <w:r>
              <w:t>CEDRE</w:t>
            </w:r>
          </w:p>
        </w:tc>
        <w:tc>
          <w:tcPr>
            <w:tcW w:w="3071" w:type="dxa"/>
            <w:shd w:val="clear" w:color="auto" w:fill="FABF8F" w:themeFill="accent6" w:themeFillTint="99"/>
          </w:tcPr>
          <w:p w:rsidR="00166667" w:rsidRDefault="00166667" w:rsidP="004F14CA">
            <w:r>
              <w:t>Serveur de domaine et contrôleur de domaine secondaire</w:t>
            </w:r>
          </w:p>
        </w:tc>
        <w:tc>
          <w:tcPr>
            <w:tcW w:w="3071" w:type="dxa"/>
            <w:shd w:val="clear" w:color="auto" w:fill="FABF8F" w:themeFill="accent6" w:themeFillTint="99"/>
          </w:tcPr>
          <w:p w:rsidR="00166667" w:rsidRDefault="00166667" w:rsidP="004F14CA">
            <w:r>
              <w:t>Debian</w:t>
            </w:r>
          </w:p>
        </w:tc>
      </w:tr>
      <w:tr w:rsidR="00166667" w:rsidTr="004F14CA">
        <w:trPr>
          <w:jc w:val="center"/>
        </w:trPr>
        <w:tc>
          <w:tcPr>
            <w:tcW w:w="3070" w:type="dxa"/>
            <w:shd w:val="clear" w:color="auto" w:fill="FABF8F" w:themeFill="accent6" w:themeFillTint="99"/>
          </w:tcPr>
          <w:p w:rsidR="00166667" w:rsidRDefault="00166667" w:rsidP="004F14CA">
            <w:r>
              <w:t>NASSYA</w:t>
            </w:r>
          </w:p>
        </w:tc>
        <w:tc>
          <w:tcPr>
            <w:tcW w:w="3071" w:type="dxa"/>
            <w:shd w:val="clear" w:color="auto" w:fill="FABF8F" w:themeFill="accent6" w:themeFillTint="99"/>
          </w:tcPr>
          <w:p w:rsidR="00166667" w:rsidRDefault="00166667" w:rsidP="004F14CA">
            <w:r>
              <w:t>Serveur de fichier</w:t>
            </w:r>
          </w:p>
        </w:tc>
        <w:tc>
          <w:tcPr>
            <w:tcW w:w="3071" w:type="dxa"/>
            <w:shd w:val="clear" w:color="auto" w:fill="FABF8F" w:themeFill="accent6" w:themeFillTint="99"/>
          </w:tcPr>
          <w:p w:rsidR="00166667" w:rsidRDefault="00166667" w:rsidP="004F14CA">
            <w:r>
              <w:t>Debian</w:t>
            </w:r>
          </w:p>
        </w:tc>
      </w:tr>
      <w:tr w:rsidR="00166667" w:rsidTr="004F14CA">
        <w:trPr>
          <w:jc w:val="center"/>
        </w:trPr>
        <w:tc>
          <w:tcPr>
            <w:tcW w:w="3070" w:type="dxa"/>
            <w:shd w:val="clear" w:color="auto" w:fill="FABF8F" w:themeFill="accent6" w:themeFillTint="99"/>
          </w:tcPr>
          <w:p w:rsidR="00166667" w:rsidRDefault="00166667" w:rsidP="004F14CA">
            <w:r>
              <w:t>KIRA</w:t>
            </w:r>
          </w:p>
        </w:tc>
        <w:tc>
          <w:tcPr>
            <w:tcW w:w="3071" w:type="dxa"/>
            <w:shd w:val="clear" w:color="auto" w:fill="FABF8F" w:themeFill="accent6" w:themeFillTint="99"/>
          </w:tcPr>
          <w:p w:rsidR="00166667" w:rsidRDefault="00166667" w:rsidP="004F14CA">
            <w:r>
              <w:t>Serveur Web</w:t>
            </w:r>
          </w:p>
        </w:tc>
        <w:tc>
          <w:tcPr>
            <w:tcW w:w="3071" w:type="dxa"/>
            <w:shd w:val="clear" w:color="auto" w:fill="FABF8F" w:themeFill="accent6" w:themeFillTint="99"/>
          </w:tcPr>
          <w:p w:rsidR="00166667" w:rsidRDefault="00166667" w:rsidP="004F14CA">
            <w:r>
              <w:t>Debian</w:t>
            </w:r>
          </w:p>
        </w:tc>
      </w:tr>
      <w:tr w:rsidR="00166667" w:rsidTr="004F14CA">
        <w:trPr>
          <w:jc w:val="center"/>
        </w:trPr>
        <w:tc>
          <w:tcPr>
            <w:tcW w:w="3070" w:type="dxa"/>
            <w:shd w:val="clear" w:color="auto" w:fill="FABF8F" w:themeFill="accent6" w:themeFillTint="99"/>
          </w:tcPr>
          <w:p w:rsidR="00166667" w:rsidRDefault="00166667" w:rsidP="004F14CA">
            <w:r>
              <w:t>ILONA</w:t>
            </w:r>
          </w:p>
        </w:tc>
        <w:tc>
          <w:tcPr>
            <w:tcW w:w="3071" w:type="dxa"/>
            <w:shd w:val="clear" w:color="auto" w:fill="FABF8F" w:themeFill="accent6" w:themeFillTint="99"/>
          </w:tcPr>
          <w:p w:rsidR="00166667" w:rsidRDefault="00166667" w:rsidP="004F14CA">
            <w:r>
              <w:t>Serveur de photothèque</w:t>
            </w:r>
          </w:p>
        </w:tc>
        <w:tc>
          <w:tcPr>
            <w:tcW w:w="3071" w:type="dxa"/>
            <w:shd w:val="clear" w:color="auto" w:fill="FABF8F" w:themeFill="accent6" w:themeFillTint="99"/>
          </w:tcPr>
          <w:p w:rsidR="00166667" w:rsidRDefault="00166667" w:rsidP="004F14CA">
            <w:proofErr w:type="spellStart"/>
            <w:r>
              <w:t>Redhat</w:t>
            </w:r>
            <w:proofErr w:type="spellEnd"/>
          </w:p>
        </w:tc>
      </w:tr>
      <w:tr w:rsidR="00166667" w:rsidTr="004F14CA">
        <w:trPr>
          <w:jc w:val="center"/>
        </w:trPr>
        <w:tc>
          <w:tcPr>
            <w:tcW w:w="3070" w:type="dxa"/>
          </w:tcPr>
          <w:p w:rsidR="00166667" w:rsidRDefault="00166667" w:rsidP="004F14CA"/>
        </w:tc>
        <w:tc>
          <w:tcPr>
            <w:tcW w:w="3071" w:type="dxa"/>
          </w:tcPr>
          <w:p w:rsidR="00166667" w:rsidRDefault="00166667" w:rsidP="004F14CA"/>
        </w:tc>
        <w:tc>
          <w:tcPr>
            <w:tcW w:w="3071" w:type="dxa"/>
          </w:tcPr>
          <w:p w:rsidR="00166667" w:rsidRDefault="00166667" w:rsidP="004F14CA"/>
        </w:tc>
      </w:tr>
      <w:tr w:rsidR="00166667" w:rsidTr="004F14CA">
        <w:trPr>
          <w:jc w:val="center"/>
        </w:trPr>
        <w:tc>
          <w:tcPr>
            <w:tcW w:w="3070" w:type="dxa"/>
            <w:shd w:val="clear" w:color="auto" w:fill="CCC0D9" w:themeFill="accent4" w:themeFillTint="66"/>
          </w:tcPr>
          <w:p w:rsidR="00166667" w:rsidRDefault="00166667" w:rsidP="004F14CA">
            <w:r>
              <w:t xml:space="preserve">STORA (non </w:t>
            </w:r>
            <w:proofErr w:type="spellStart"/>
            <w:r>
              <w:t>virtualisé</w:t>
            </w:r>
            <w:proofErr w:type="spellEnd"/>
            <w:r>
              <w:t>)</w:t>
            </w:r>
          </w:p>
        </w:tc>
        <w:tc>
          <w:tcPr>
            <w:tcW w:w="3071" w:type="dxa"/>
            <w:shd w:val="clear" w:color="auto" w:fill="CCC0D9" w:themeFill="accent4" w:themeFillTint="66"/>
          </w:tcPr>
          <w:p w:rsidR="00166667" w:rsidRDefault="00166667" w:rsidP="004F14CA">
            <w:r>
              <w:t>Serveur de sauvegarde</w:t>
            </w:r>
          </w:p>
        </w:tc>
        <w:tc>
          <w:tcPr>
            <w:tcW w:w="3071" w:type="dxa"/>
            <w:shd w:val="clear" w:color="auto" w:fill="CCC0D9" w:themeFill="accent4" w:themeFillTint="66"/>
          </w:tcPr>
          <w:p w:rsidR="00166667" w:rsidRDefault="00166667" w:rsidP="004F14CA">
            <w:proofErr w:type="spellStart"/>
            <w:r>
              <w:t>Redhat</w:t>
            </w:r>
            <w:proofErr w:type="spellEnd"/>
          </w:p>
        </w:tc>
      </w:tr>
    </w:tbl>
    <w:p w:rsidR="00166667" w:rsidRDefault="00166667" w:rsidP="00166667"/>
    <w:p w:rsidR="00166667" w:rsidRDefault="00166667" w:rsidP="00166667">
      <w:r w:rsidRPr="00666E1C">
        <w:rPr>
          <w:b/>
        </w:rPr>
        <w:t>STORA</w:t>
      </w:r>
      <w:r>
        <w:t xml:space="preserve"> est un serveur non </w:t>
      </w:r>
      <w:proofErr w:type="spellStart"/>
      <w:r>
        <w:t>virtualisé</w:t>
      </w:r>
      <w:proofErr w:type="spellEnd"/>
      <w:r>
        <w:t xml:space="preserve"> qui est utilisé pour automatiser la sauvegarde. Il est raccordé par Fibre Channel à une librairie </w:t>
      </w:r>
      <w:r w:rsidRPr="00CD036B">
        <w:rPr>
          <w:b/>
        </w:rPr>
        <w:t xml:space="preserve">Quantum </w:t>
      </w:r>
      <w:proofErr w:type="spellStart"/>
      <w:r w:rsidRPr="00CD036B">
        <w:rPr>
          <w:b/>
        </w:rPr>
        <w:t>Scalar</w:t>
      </w:r>
      <w:proofErr w:type="spellEnd"/>
      <w:r w:rsidRPr="00CD036B">
        <w:rPr>
          <w:b/>
        </w:rPr>
        <w:t xml:space="preserve"> I40</w:t>
      </w:r>
      <w:r>
        <w:t xml:space="preserve"> de 40 slots, il sauvegarde les données sur des cartouches magnétiques LTO5. </w:t>
      </w:r>
    </w:p>
    <w:p w:rsidR="00166667" w:rsidRDefault="00166667" w:rsidP="00166667">
      <w:r>
        <w:t xml:space="preserve">En relation avec un Hyperviseur </w:t>
      </w:r>
      <w:proofErr w:type="spellStart"/>
      <w:r w:rsidRPr="00CD036B">
        <w:rPr>
          <w:b/>
        </w:rPr>
        <w:t>VMWare</w:t>
      </w:r>
      <w:proofErr w:type="spellEnd"/>
      <w:r w:rsidRPr="00CD036B">
        <w:rPr>
          <w:b/>
        </w:rPr>
        <w:t xml:space="preserve"> ESXI</w:t>
      </w:r>
      <w:r>
        <w:t xml:space="preserve"> installé sur les serveurs </w:t>
      </w:r>
      <w:r w:rsidRPr="00AB553A">
        <w:rPr>
          <w:b/>
        </w:rPr>
        <w:t xml:space="preserve">Dell </w:t>
      </w:r>
      <w:proofErr w:type="spellStart"/>
      <w:r w:rsidRPr="00AB553A">
        <w:rPr>
          <w:b/>
        </w:rPr>
        <w:t>PowerEdge</w:t>
      </w:r>
      <w:proofErr w:type="spellEnd"/>
      <w:r w:rsidRPr="00AB553A">
        <w:rPr>
          <w:b/>
        </w:rPr>
        <w:t xml:space="preserve"> R610</w:t>
      </w:r>
      <w:r>
        <w:t xml:space="preserve">, les serveurs virtuels sont administrés sur les ordinateurs de l’équipe Informatique par le logiciel </w:t>
      </w:r>
      <w:proofErr w:type="spellStart"/>
      <w:r w:rsidRPr="00CD036B">
        <w:rPr>
          <w:b/>
        </w:rPr>
        <w:t>VMWare</w:t>
      </w:r>
      <w:proofErr w:type="spellEnd"/>
      <w:r w:rsidRPr="00CD036B">
        <w:rPr>
          <w:b/>
        </w:rPr>
        <w:t xml:space="preserve"> </w:t>
      </w:r>
      <w:proofErr w:type="spellStart"/>
      <w:r w:rsidRPr="00CD036B">
        <w:rPr>
          <w:b/>
        </w:rPr>
        <w:t>vCenter</w:t>
      </w:r>
      <w:proofErr w:type="spellEnd"/>
      <w:r>
        <w:t xml:space="preserve">. Il permet de centraliser l’administration de tous les serveurs </w:t>
      </w:r>
      <w:proofErr w:type="spellStart"/>
      <w:r>
        <w:t>virtualisés</w:t>
      </w:r>
      <w:proofErr w:type="spellEnd"/>
      <w:r>
        <w:t xml:space="preserve"> d’un même réseau. </w:t>
      </w:r>
    </w:p>
    <w:p w:rsidR="00166667" w:rsidRPr="00AD5F30" w:rsidRDefault="00166667" w:rsidP="00166667">
      <w:pPr>
        <w:jc w:val="center"/>
        <w:rPr>
          <w:i/>
        </w:rPr>
      </w:pPr>
      <w:r>
        <w:rPr>
          <w:i/>
        </w:rPr>
        <w:t>Vous pouvez retrouver en Annexe</w:t>
      </w:r>
      <w:r w:rsidRPr="00AD5F30">
        <w:rPr>
          <w:i/>
        </w:rPr>
        <w:t xml:space="preserve"> </w:t>
      </w:r>
      <w:r>
        <w:rPr>
          <w:i/>
        </w:rPr>
        <w:t xml:space="preserve">un aperçu de </w:t>
      </w:r>
      <w:proofErr w:type="spellStart"/>
      <w:r>
        <w:rPr>
          <w:i/>
        </w:rPr>
        <w:t>VMWare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vCenter</w:t>
      </w:r>
      <w:proofErr w:type="spellEnd"/>
      <w:r w:rsidRPr="00AD5F30">
        <w:rPr>
          <w:i/>
        </w:rPr>
        <w:t>.</w:t>
      </w:r>
    </w:p>
    <w:p w:rsidR="00166667" w:rsidRDefault="00166667" w:rsidP="00166667">
      <w:pPr>
        <w:pStyle w:val="Paragraphedeliste"/>
        <w:numPr>
          <w:ilvl w:val="0"/>
          <w:numId w:val="1"/>
        </w:numPr>
        <w:outlineLvl w:val="1"/>
        <w:rPr>
          <w:sz w:val="24"/>
          <w:u w:val="single"/>
        </w:rPr>
      </w:pPr>
      <w:bookmarkStart w:id="2" w:name="_Toc383079915"/>
      <w:r w:rsidRPr="0023654B">
        <w:rPr>
          <w:sz w:val="24"/>
          <w:u w:val="single"/>
        </w:rPr>
        <w:t>Le stockage</w:t>
      </w:r>
      <w:bookmarkEnd w:id="2"/>
    </w:p>
    <w:p w:rsidR="00166667" w:rsidRPr="002811E9" w:rsidRDefault="00166667" w:rsidP="00166667">
      <w:r>
        <w:t xml:space="preserve">Les données des utilisateurs sont stockées sur une baie de stockage </w:t>
      </w:r>
      <w:proofErr w:type="spellStart"/>
      <w:r w:rsidRPr="00CD036B">
        <w:rPr>
          <w:b/>
        </w:rPr>
        <w:t>NetApp</w:t>
      </w:r>
      <w:proofErr w:type="spellEnd"/>
      <w:r>
        <w:t xml:space="preserve"> </w:t>
      </w:r>
      <w:r w:rsidRPr="002811E9">
        <w:rPr>
          <w:b/>
        </w:rPr>
        <w:t>2200</w:t>
      </w:r>
      <w:r>
        <w:t>.</w:t>
      </w:r>
    </w:p>
    <w:tbl>
      <w:tblPr>
        <w:tblStyle w:val="Grilledutableau"/>
        <w:tblW w:w="0" w:type="auto"/>
        <w:tblInd w:w="2093" w:type="dxa"/>
        <w:tblLook w:val="04A0" w:firstRow="1" w:lastRow="0" w:firstColumn="1" w:lastColumn="0" w:noHBand="0" w:noVBand="1"/>
      </w:tblPr>
      <w:tblGrid>
        <w:gridCol w:w="5103"/>
      </w:tblGrid>
      <w:tr w:rsidR="00166667" w:rsidTr="004F14CA">
        <w:tc>
          <w:tcPr>
            <w:tcW w:w="5103" w:type="dxa"/>
          </w:tcPr>
          <w:p w:rsidR="00166667" w:rsidRDefault="00166667" w:rsidP="004F14CA">
            <w:pPr>
              <w:jc w:val="center"/>
            </w:pPr>
            <w:r>
              <w:t>Double Contrôleur</w:t>
            </w:r>
          </w:p>
        </w:tc>
      </w:tr>
      <w:tr w:rsidR="00166667" w:rsidTr="004F14CA">
        <w:tc>
          <w:tcPr>
            <w:tcW w:w="5103" w:type="dxa"/>
          </w:tcPr>
          <w:p w:rsidR="00166667" w:rsidRDefault="00166667" w:rsidP="004F14CA">
            <w:pPr>
              <w:jc w:val="center"/>
            </w:pPr>
            <w:r>
              <w:t>12 disques durs de 2 To SATA</w:t>
            </w:r>
          </w:p>
        </w:tc>
      </w:tr>
      <w:tr w:rsidR="00166667" w:rsidTr="004F14CA">
        <w:tc>
          <w:tcPr>
            <w:tcW w:w="5103" w:type="dxa"/>
          </w:tcPr>
          <w:p w:rsidR="00166667" w:rsidRDefault="00166667" w:rsidP="004F14CA">
            <w:pPr>
              <w:jc w:val="center"/>
            </w:pPr>
            <w:r>
              <w:t>Tiroir d’extension de 12 disques durs de 600 Go SAS</w:t>
            </w:r>
          </w:p>
        </w:tc>
      </w:tr>
    </w:tbl>
    <w:p w:rsidR="00166667" w:rsidRDefault="00166667" w:rsidP="00166667"/>
    <w:p w:rsidR="00166667" w:rsidRPr="00882943" w:rsidRDefault="00166667" w:rsidP="00166667">
      <w:pPr>
        <w:pStyle w:val="Paragraphedeliste"/>
        <w:numPr>
          <w:ilvl w:val="0"/>
          <w:numId w:val="1"/>
        </w:numPr>
        <w:outlineLvl w:val="1"/>
        <w:rPr>
          <w:sz w:val="24"/>
          <w:szCs w:val="24"/>
          <w:u w:val="single"/>
        </w:rPr>
      </w:pPr>
      <w:bookmarkStart w:id="3" w:name="_Toc383079916"/>
      <w:r w:rsidRPr="00882943">
        <w:rPr>
          <w:sz w:val="24"/>
          <w:szCs w:val="24"/>
          <w:u w:val="single"/>
        </w:rPr>
        <w:t>Les sauvegardes et restauration</w:t>
      </w:r>
      <w:r>
        <w:rPr>
          <w:sz w:val="24"/>
          <w:szCs w:val="24"/>
          <w:u w:val="single"/>
        </w:rPr>
        <w:t>s</w:t>
      </w:r>
      <w:bookmarkEnd w:id="3"/>
    </w:p>
    <w:p w:rsidR="00166667" w:rsidRDefault="00166667" w:rsidP="00166667">
      <w:pPr>
        <w:spacing w:after="0"/>
        <w:rPr>
          <w:noProof/>
        </w:rPr>
      </w:pPr>
      <w:r w:rsidRPr="005E7605">
        <w:t xml:space="preserve">Les disques réseaux sont sauvegardés via le logiciel </w:t>
      </w:r>
      <w:proofErr w:type="spellStart"/>
      <w:r w:rsidRPr="005E7605">
        <w:rPr>
          <w:b/>
        </w:rPr>
        <w:t>Atempo</w:t>
      </w:r>
      <w:proofErr w:type="spellEnd"/>
      <w:r w:rsidRPr="005E7605">
        <w:rPr>
          <w:b/>
        </w:rPr>
        <w:t xml:space="preserve"> Time Navigator</w:t>
      </w:r>
      <w:r>
        <w:t>. Les sauvegardes sont faites de façon incrémentale en semaine et totale le week-end. Elles possèdent une rétention de 3 mois permettant</w:t>
      </w:r>
      <w:r w:rsidRPr="005E7605">
        <w:t xml:space="preserve"> de restaurer un fichier erroné ou supprimé </w:t>
      </w:r>
      <w:r w:rsidRPr="005E7605">
        <w:rPr>
          <w:noProof/>
        </w:rPr>
        <w:t>à la date souhaitée.</w:t>
      </w:r>
    </w:p>
    <w:p w:rsidR="00166667" w:rsidRPr="005E7605" w:rsidRDefault="00166667" w:rsidP="00166667">
      <w:pPr>
        <w:spacing w:after="0"/>
      </w:pPr>
    </w:p>
    <w:p w:rsidR="00166667" w:rsidRPr="00AD5F30" w:rsidRDefault="00166667" w:rsidP="00166667">
      <w:pPr>
        <w:pStyle w:val="Paragraphedeliste"/>
        <w:numPr>
          <w:ilvl w:val="0"/>
          <w:numId w:val="1"/>
        </w:numPr>
        <w:outlineLvl w:val="1"/>
        <w:rPr>
          <w:sz w:val="24"/>
          <w:u w:val="single"/>
        </w:rPr>
      </w:pPr>
      <w:bookmarkStart w:id="4" w:name="_Toc383079917"/>
      <w:r w:rsidRPr="00AD5F30">
        <w:rPr>
          <w:sz w:val="24"/>
          <w:u w:val="single"/>
        </w:rPr>
        <w:t>Plan de R</w:t>
      </w:r>
      <w:r>
        <w:rPr>
          <w:sz w:val="24"/>
          <w:u w:val="single"/>
        </w:rPr>
        <w:t>eprise</w:t>
      </w:r>
      <w:r w:rsidRPr="00AD5F30">
        <w:rPr>
          <w:sz w:val="24"/>
          <w:u w:val="single"/>
        </w:rPr>
        <w:t xml:space="preserve"> D’activités</w:t>
      </w:r>
      <w:bookmarkEnd w:id="4"/>
    </w:p>
    <w:p w:rsidR="00166667" w:rsidRDefault="00166667" w:rsidP="00166667">
      <w:r>
        <w:t xml:space="preserve">Dans le cadre d’un Plan de Reprise d’Activités (PRA), un troisième serveur </w:t>
      </w:r>
      <w:r w:rsidRPr="00AB553A">
        <w:rPr>
          <w:b/>
        </w:rPr>
        <w:t xml:space="preserve">Dell </w:t>
      </w:r>
      <w:proofErr w:type="spellStart"/>
      <w:r w:rsidRPr="00AB553A">
        <w:rPr>
          <w:b/>
        </w:rPr>
        <w:t>PowerEdge</w:t>
      </w:r>
      <w:proofErr w:type="spellEnd"/>
      <w:r w:rsidRPr="00AB553A">
        <w:rPr>
          <w:b/>
        </w:rPr>
        <w:t xml:space="preserve"> R510</w:t>
      </w:r>
      <w:r>
        <w:t xml:space="preserve"> et une deuxième baie de stockage </w:t>
      </w:r>
      <w:proofErr w:type="spellStart"/>
      <w:r w:rsidRPr="00AB553A">
        <w:rPr>
          <w:b/>
        </w:rPr>
        <w:t>NetApp</w:t>
      </w:r>
      <w:proofErr w:type="spellEnd"/>
      <w:r>
        <w:t xml:space="preserve"> sont situés dans les locaux de l’</w:t>
      </w:r>
      <w:r w:rsidRPr="00BA30B9">
        <w:rPr>
          <w:i/>
        </w:rPr>
        <w:t>Ifremer</w:t>
      </w:r>
      <w:r>
        <w:t xml:space="preserve">. Les VM sont </w:t>
      </w:r>
      <w:r>
        <w:lastRenderedPageBreak/>
        <w:t>répliqués de manières asynchrones plusieurs fois par jour et les données de la baie de stockage sont copiées par la baie elle-même toutes les 5 minutes sur celle de l’</w:t>
      </w:r>
      <w:r w:rsidRPr="00BA30B9">
        <w:rPr>
          <w:i/>
        </w:rPr>
        <w:t>Ifremer</w:t>
      </w:r>
      <w:r>
        <w:t xml:space="preserve">. </w:t>
      </w:r>
    </w:p>
    <w:p w:rsidR="00166667" w:rsidRDefault="00166667" w:rsidP="00166667">
      <w:r>
        <w:t xml:space="preserve">Serveur </w:t>
      </w:r>
      <w:r w:rsidRPr="00720AF1">
        <w:rPr>
          <w:b/>
        </w:rPr>
        <w:t xml:space="preserve">Dell </w:t>
      </w:r>
      <w:proofErr w:type="spellStart"/>
      <w:r w:rsidRPr="00720AF1">
        <w:rPr>
          <w:b/>
        </w:rPr>
        <w:t>PowerEdge</w:t>
      </w:r>
      <w:proofErr w:type="spellEnd"/>
      <w:r w:rsidRPr="00720AF1">
        <w:rPr>
          <w:b/>
        </w:rPr>
        <w:t xml:space="preserve"> R510</w:t>
      </w:r>
      <w:r>
        <w:t>.</w:t>
      </w:r>
    </w:p>
    <w:tbl>
      <w:tblPr>
        <w:tblStyle w:val="Grilledutableau"/>
        <w:tblW w:w="0" w:type="auto"/>
        <w:tblInd w:w="2093" w:type="dxa"/>
        <w:tblLook w:val="04A0" w:firstRow="1" w:lastRow="0" w:firstColumn="1" w:lastColumn="0" w:noHBand="0" w:noVBand="1"/>
      </w:tblPr>
      <w:tblGrid>
        <w:gridCol w:w="5103"/>
      </w:tblGrid>
      <w:tr w:rsidR="00166667" w:rsidTr="004F14CA">
        <w:tc>
          <w:tcPr>
            <w:tcW w:w="5103" w:type="dxa"/>
          </w:tcPr>
          <w:p w:rsidR="00166667" w:rsidRDefault="00166667" w:rsidP="004F14CA">
            <w:pPr>
              <w:jc w:val="center"/>
            </w:pPr>
            <w:r>
              <w:t>2 x CPU E5502 1.87Ghz</w:t>
            </w:r>
          </w:p>
        </w:tc>
      </w:tr>
      <w:tr w:rsidR="00166667" w:rsidTr="004F14CA">
        <w:tc>
          <w:tcPr>
            <w:tcW w:w="5103" w:type="dxa"/>
          </w:tcPr>
          <w:p w:rsidR="00166667" w:rsidRDefault="00166667" w:rsidP="004F14CA">
            <w:pPr>
              <w:jc w:val="center"/>
            </w:pPr>
            <w:r>
              <w:t>32 Go de ram</w:t>
            </w:r>
          </w:p>
        </w:tc>
      </w:tr>
    </w:tbl>
    <w:p w:rsidR="00166667" w:rsidRDefault="00166667" w:rsidP="00166667"/>
    <w:p w:rsidR="00166667" w:rsidRDefault="00166667" w:rsidP="00166667">
      <w:r>
        <w:t>Seconde b</w:t>
      </w:r>
      <w:r w:rsidRPr="00B534E6">
        <w:t>aie</w:t>
      </w:r>
      <w:r>
        <w:t xml:space="preserve"> de stockage</w:t>
      </w:r>
      <w:r w:rsidRPr="00B534E6">
        <w:t xml:space="preserve"> </w:t>
      </w:r>
      <w:proofErr w:type="spellStart"/>
      <w:r w:rsidRPr="00720AF1">
        <w:rPr>
          <w:b/>
        </w:rPr>
        <w:t>NetApp</w:t>
      </w:r>
      <w:proofErr w:type="spellEnd"/>
      <w:r w:rsidRPr="00720AF1">
        <w:rPr>
          <w:b/>
        </w:rPr>
        <w:t xml:space="preserve"> 2200</w:t>
      </w:r>
      <w:r w:rsidRPr="00720AF1">
        <w:t>.</w:t>
      </w:r>
    </w:p>
    <w:tbl>
      <w:tblPr>
        <w:tblStyle w:val="Grilledutableau"/>
        <w:tblW w:w="0" w:type="auto"/>
        <w:tblInd w:w="2093" w:type="dxa"/>
        <w:tblLook w:val="04A0" w:firstRow="1" w:lastRow="0" w:firstColumn="1" w:lastColumn="0" w:noHBand="0" w:noVBand="1"/>
      </w:tblPr>
      <w:tblGrid>
        <w:gridCol w:w="5103"/>
      </w:tblGrid>
      <w:tr w:rsidR="00166667" w:rsidTr="004F14CA">
        <w:tc>
          <w:tcPr>
            <w:tcW w:w="5103" w:type="dxa"/>
          </w:tcPr>
          <w:p w:rsidR="00166667" w:rsidRDefault="00166667" w:rsidP="004F14CA">
            <w:pPr>
              <w:jc w:val="center"/>
            </w:pPr>
            <w:r>
              <w:t>12 disques durs de 3 To SATA</w:t>
            </w:r>
          </w:p>
        </w:tc>
      </w:tr>
    </w:tbl>
    <w:p w:rsidR="00166667" w:rsidRDefault="00166667" w:rsidP="00166667"/>
    <w:p w:rsidR="00166667" w:rsidRDefault="00166667" w:rsidP="00166667">
      <w:r>
        <w:t xml:space="preserve">Cette architecture permet de rester opérationnel en cas de panne d’un serveur, de la baie de stockage ou encore d’une catastrophe dans les locaux du </w:t>
      </w:r>
      <w:proofErr w:type="spellStart"/>
      <w:r w:rsidRPr="00045BAE">
        <w:rPr>
          <w:i/>
        </w:rPr>
        <w:t>Cedre</w:t>
      </w:r>
      <w:proofErr w:type="spellEnd"/>
      <w:r>
        <w:t>.</w:t>
      </w:r>
    </w:p>
    <w:p w:rsidR="00166667" w:rsidRPr="00A270D4" w:rsidRDefault="00166667" w:rsidP="00166667">
      <w:pPr>
        <w:pStyle w:val="Paragraphedeliste"/>
        <w:numPr>
          <w:ilvl w:val="0"/>
          <w:numId w:val="1"/>
        </w:numPr>
        <w:outlineLvl w:val="1"/>
        <w:rPr>
          <w:sz w:val="24"/>
          <w:szCs w:val="24"/>
          <w:u w:val="single"/>
        </w:rPr>
      </w:pPr>
      <w:bookmarkStart w:id="5" w:name="_Toc383079918"/>
      <w:r w:rsidRPr="00A270D4">
        <w:rPr>
          <w:sz w:val="24"/>
          <w:szCs w:val="24"/>
          <w:u w:val="single"/>
        </w:rPr>
        <w:t>La gestion du parc informatique</w:t>
      </w:r>
      <w:bookmarkEnd w:id="5"/>
    </w:p>
    <w:p w:rsidR="00166667" w:rsidRDefault="00166667" w:rsidP="00166667">
      <w:pPr>
        <w:rPr>
          <w:szCs w:val="24"/>
        </w:rPr>
      </w:pPr>
      <w:r w:rsidRPr="00403C49">
        <w:rPr>
          <w:szCs w:val="24"/>
        </w:rPr>
        <w:t>Le parc informatique</w:t>
      </w:r>
      <w:r>
        <w:rPr>
          <w:szCs w:val="24"/>
        </w:rPr>
        <w:t xml:space="preserve"> est constitué d’une centaine d’ordinateurs fixes et portables, il</w:t>
      </w:r>
      <w:r w:rsidRPr="00403C49">
        <w:rPr>
          <w:szCs w:val="24"/>
        </w:rPr>
        <w:t xml:space="preserve"> est géré de </w:t>
      </w:r>
      <w:r>
        <w:rPr>
          <w:szCs w:val="24"/>
        </w:rPr>
        <w:t xml:space="preserve">façon générale par une base de données Access. Elle recense les ordinateurs par utilisateurs et les imprimantes. </w:t>
      </w:r>
    </w:p>
    <w:p w:rsidR="00166667" w:rsidRPr="00045BAE" w:rsidRDefault="00166667" w:rsidP="00166667">
      <w:pPr>
        <w:jc w:val="center"/>
        <w:rPr>
          <w:i/>
        </w:rPr>
      </w:pPr>
      <w:r>
        <w:rPr>
          <w:i/>
        </w:rPr>
        <w:t>Vous pouvez retrouver en Annexe</w:t>
      </w:r>
      <w:r w:rsidRPr="00AD5F30">
        <w:rPr>
          <w:i/>
        </w:rPr>
        <w:t xml:space="preserve"> </w:t>
      </w:r>
      <w:r>
        <w:rPr>
          <w:i/>
        </w:rPr>
        <w:t xml:space="preserve">un aperçu de la base de données </w:t>
      </w:r>
      <w:proofErr w:type="spellStart"/>
      <w:r>
        <w:rPr>
          <w:i/>
        </w:rPr>
        <w:t>Matinfor</w:t>
      </w:r>
      <w:proofErr w:type="spellEnd"/>
      <w:r>
        <w:rPr>
          <w:i/>
        </w:rPr>
        <w:t>.</w:t>
      </w:r>
    </w:p>
    <w:p w:rsidR="00166667" w:rsidRDefault="00166667" w:rsidP="00166667">
      <w:pPr>
        <w:rPr>
          <w:szCs w:val="24"/>
        </w:rPr>
      </w:pPr>
      <w:r>
        <w:rPr>
          <w:szCs w:val="24"/>
        </w:rPr>
        <w:t>L’</w:t>
      </w:r>
      <w:r w:rsidRPr="00666E1C">
        <w:rPr>
          <w:i/>
          <w:szCs w:val="24"/>
        </w:rPr>
        <w:t>Ifremer</w:t>
      </w:r>
      <w:r>
        <w:rPr>
          <w:szCs w:val="24"/>
        </w:rPr>
        <w:t xml:space="preserve"> met à disposition du </w:t>
      </w:r>
      <w:proofErr w:type="spellStart"/>
      <w:r w:rsidRPr="00666E1C">
        <w:rPr>
          <w:i/>
          <w:szCs w:val="24"/>
        </w:rPr>
        <w:t>Cedre</w:t>
      </w:r>
      <w:proofErr w:type="spellEnd"/>
      <w:r>
        <w:rPr>
          <w:szCs w:val="24"/>
        </w:rPr>
        <w:t xml:space="preserve"> un outil de gestion de parc nommé </w:t>
      </w:r>
      <w:r w:rsidRPr="00AB553A">
        <w:rPr>
          <w:b/>
          <w:szCs w:val="24"/>
        </w:rPr>
        <w:t>GLPI</w:t>
      </w:r>
      <w:r>
        <w:rPr>
          <w:szCs w:val="24"/>
        </w:rPr>
        <w:t>. Celui-ci s’utilise par interface Web et permet de lister les ordinateurs connectés au réseau.</w:t>
      </w:r>
    </w:p>
    <w:p w:rsidR="00166667" w:rsidRPr="00045BAE" w:rsidRDefault="00166667" w:rsidP="00166667">
      <w:pPr>
        <w:jc w:val="center"/>
        <w:rPr>
          <w:i/>
        </w:rPr>
      </w:pPr>
      <w:r>
        <w:rPr>
          <w:i/>
        </w:rPr>
        <w:t>Vous pouvez retrouver en Annexe</w:t>
      </w:r>
      <w:r w:rsidRPr="00AD5F30">
        <w:rPr>
          <w:i/>
        </w:rPr>
        <w:t xml:space="preserve"> </w:t>
      </w:r>
      <w:r>
        <w:rPr>
          <w:i/>
        </w:rPr>
        <w:t>un aperçu de GLPI.</w:t>
      </w:r>
    </w:p>
    <w:p w:rsidR="00166667" w:rsidRDefault="00166667" w:rsidP="00166667">
      <w:pPr>
        <w:pStyle w:val="Paragraphedeliste"/>
        <w:numPr>
          <w:ilvl w:val="0"/>
          <w:numId w:val="1"/>
        </w:numPr>
        <w:outlineLvl w:val="1"/>
        <w:rPr>
          <w:sz w:val="24"/>
          <w:szCs w:val="24"/>
          <w:u w:val="single"/>
        </w:rPr>
      </w:pPr>
      <w:bookmarkStart w:id="6" w:name="_Toc383079919"/>
      <w:r>
        <w:rPr>
          <w:sz w:val="24"/>
          <w:szCs w:val="24"/>
          <w:u w:val="single"/>
        </w:rPr>
        <w:t>Les postes de travail</w:t>
      </w:r>
      <w:bookmarkEnd w:id="6"/>
    </w:p>
    <w:p w:rsidR="00166667" w:rsidRDefault="00166667" w:rsidP="00166667">
      <w:r>
        <w:t xml:space="preserve">Les salariés du </w:t>
      </w:r>
      <w:proofErr w:type="spellStart"/>
      <w:r w:rsidRPr="005C7589">
        <w:rPr>
          <w:i/>
        </w:rPr>
        <w:t>Cedre</w:t>
      </w:r>
      <w:proofErr w:type="spellEnd"/>
      <w:r>
        <w:t xml:space="preserve"> sont équipés d’un ordinateur fixe ou d’une station d’accueil. Les ordinateurs fixes sont achetés</w:t>
      </w:r>
      <w:r w:rsidRPr="006560FF">
        <w:t xml:space="preserve"> </w:t>
      </w:r>
      <w:r>
        <w:t>chez un assembleur local et principalement chez</w:t>
      </w:r>
      <w:r w:rsidRPr="00F86E9F">
        <w:t xml:space="preserve"> </w:t>
      </w:r>
      <w:r>
        <w:t xml:space="preserve">Dell pour les portables. Des ordinateurs portables sont également mis à disposition en libre-service. </w:t>
      </w:r>
    </w:p>
    <w:p w:rsidR="00166667" w:rsidRDefault="00166667" w:rsidP="00166667">
      <w:pPr>
        <w:spacing w:after="0"/>
        <w:ind w:right="-142"/>
        <w:rPr>
          <w:noProof/>
        </w:rPr>
      </w:pPr>
      <w:r>
        <w:rPr>
          <w:noProof/>
        </w:rPr>
        <w:t xml:space="preserve">Ces </w:t>
      </w:r>
      <w:r w:rsidRPr="00C636C0">
        <w:rPr>
          <w:noProof/>
        </w:rPr>
        <w:t>postes de travail bénéficie</w:t>
      </w:r>
      <w:r>
        <w:rPr>
          <w:noProof/>
        </w:rPr>
        <w:t>nt</w:t>
      </w:r>
      <w:r w:rsidRPr="00C636C0">
        <w:rPr>
          <w:noProof/>
        </w:rPr>
        <w:t xml:space="preserve"> d’une garantie constructeur de 3</w:t>
      </w:r>
      <w:r>
        <w:rPr>
          <w:noProof/>
        </w:rPr>
        <w:t xml:space="preserve"> </w:t>
      </w:r>
      <w:r w:rsidRPr="00C636C0">
        <w:rPr>
          <w:noProof/>
        </w:rPr>
        <w:t xml:space="preserve">ans </w:t>
      </w:r>
      <w:r>
        <w:rPr>
          <w:noProof/>
        </w:rPr>
        <w:t xml:space="preserve">pour la plupart </w:t>
      </w:r>
      <w:r w:rsidRPr="00C636C0">
        <w:rPr>
          <w:noProof/>
        </w:rPr>
        <w:t>et sont équipés d</w:t>
      </w:r>
      <w:r>
        <w:rPr>
          <w:noProof/>
        </w:rPr>
        <w:t>’un pack</w:t>
      </w:r>
      <w:r w:rsidRPr="00C636C0">
        <w:rPr>
          <w:noProof/>
        </w:rPr>
        <w:t xml:space="preserve"> logiciels standard (Pack office</w:t>
      </w:r>
      <w:r>
        <w:rPr>
          <w:noProof/>
        </w:rPr>
        <w:t xml:space="preserve"> Microsoft</w:t>
      </w:r>
      <w:r w:rsidRPr="00C636C0">
        <w:rPr>
          <w:noProof/>
        </w:rPr>
        <w:t xml:space="preserve">, </w:t>
      </w:r>
      <w:r>
        <w:rPr>
          <w:noProof/>
        </w:rPr>
        <w:t>Adobe A</w:t>
      </w:r>
      <w:r w:rsidRPr="00C636C0">
        <w:rPr>
          <w:noProof/>
        </w:rPr>
        <w:t xml:space="preserve">crobat </w:t>
      </w:r>
      <w:r>
        <w:rPr>
          <w:noProof/>
        </w:rPr>
        <w:t>R</w:t>
      </w:r>
      <w:r w:rsidRPr="00C636C0">
        <w:rPr>
          <w:noProof/>
        </w:rPr>
        <w:t xml:space="preserve">eader, </w:t>
      </w:r>
      <w:r>
        <w:rPr>
          <w:noProof/>
        </w:rPr>
        <w:t>PDF</w:t>
      </w:r>
      <w:r w:rsidRPr="00C636C0">
        <w:rPr>
          <w:noProof/>
        </w:rPr>
        <w:t xml:space="preserve"> </w:t>
      </w:r>
      <w:r>
        <w:rPr>
          <w:noProof/>
        </w:rPr>
        <w:t>C</w:t>
      </w:r>
      <w:r w:rsidRPr="00C636C0">
        <w:rPr>
          <w:noProof/>
        </w:rPr>
        <w:t xml:space="preserve">reator, </w:t>
      </w:r>
      <w:r>
        <w:rPr>
          <w:noProof/>
        </w:rPr>
        <w:t>T</w:t>
      </w:r>
      <w:r w:rsidRPr="00C636C0">
        <w:rPr>
          <w:noProof/>
        </w:rPr>
        <w:t xml:space="preserve">hunderbird, </w:t>
      </w:r>
      <w:r>
        <w:rPr>
          <w:noProof/>
        </w:rPr>
        <w:t>F</w:t>
      </w:r>
      <w:r w:rsidRPr="00C636C0">
        <w:rPr>
          <w:noProof/>
        </w:rPr>
        <w:t xml:space="preserve">irefox, </w:t>
      </w:r>
      <w:r>
        <w:rPr>
          <w:noProof/>
        </w:rPr>
        <w:t>W</w:t>
      </w:r>
      <w:r w:rsidRPr="00C636C0">
        <w:rPr>
          <w:noProof/>
        </w:rPr>
        <w:t>inzip,….)</w:t>
      </w:r>
      <w:r>
        <w:rPr>
          <w:noProof/>
        </w:rPr>
        <w:t xml:space="preserve">. </w:t>
      </w:r>
      <w:r w:rsidRPr="00C636C0">
        <w:rPr>
          <w:noProof/>
        </w:rPr>
        <w:t>Des logi</w:t>
      </w:r>
      <w:r>
        <w:rPr>
          <w:noProof/>
        </w:rPr>
        <w:t>ciels spécifiques peuvent être ajoutés</w:t>
      </w:r>
      <w:r w:rsidRPr="00C636C0">
        <w:rPr>
          <w:noProof/>
        </w:rPr>
        <w:t xml:space="preserve"> à la configuration standard en fonction du besoin.</w:t>
      </w:r>
    </w:p>
    <w:p w:rsidR="00166667" w:rsidRDefault="00166667" w:rsidP="00166667">
      <w:pPr>
        <w:spacing w:after="0"/>
        <w:ind w:right="-142"/>
        <w:rPr>
          <w:noProof/>
        </w:rPr>
      </w:pPr>
      <w:r>
        <w:t>Une fois connecté au domaine trois disques réseaux sont mappés par défaut :</w:t>
      </w:r>
    </w:p>
    <w:p w:rsidR="00166667" w:rsidRDefault="00166667" w:rsidP="00166667">
      <w:pPr>
        <w:pStyle w:val="Paragraphedeliste"/>
        <w:numPr>
          <w:ilvl w:val="0"/>
          <w:numId w:val="2"/>
        </w:numPr>
      </w:pPr>
      <w:r w:rsidRPr="00CB2033">
        <w:rPr>
          <w:b/>
        </w:rPr>
        <w:t>Le disque Q</w:t>
      </w:r>
      <w:r>
        <w:t xml:space="preserve"> qui contient le profil internet et la messagerie de l’utilisateur. Ce disque est personnel.</w:t>
      </w:r>
    </w:p>
    <w:p w:rsidR="00166667" w:rsidRDefault="00166667" w:rsidP="00166667">
      <w:pPr>
        <w:pStyle w:val="Paragraphedeliste"/>
        <w:numPr>
          <w:ilvl w:val="0"/>
          <w:numId w:val="2"/>
        </w:numPr>
      </w:pPr>
      <w:r w:rsidRPr="00CB2033">
        <w:rPr>
          <w:b/>
        </w:rPr>
        <w:t>Le disque N</w:t>
      </w:r>
      <w:r>
        <w:t xml:space="preserve"> qui est commun à tous les utilisateurs. L’architecture de celui-ci est faite par service du </w:t>
      </w:r>
      <w:proofErr w:type="spellStart"/>
      <w:r w:rsidRPr="005C7589">
        <w:rPr>
          <w:i/>
        </w:rPr>
        <w:t>Cedre</w:t>
      </w:r>
      <w:proofErr w:type="spellEnd"/>
      <w:r>
        <w:t>.</w:t>
      </w:r>
    </w:p>
    <w:p w:rsidR="00166667" w:rsidRDefault="00166667" w:rsidP="00166667">
      <w:pPr>
        <w:pStyle w:val="Paragraphedeliste"/>
        <w:numPr>
          <w:ilvl w:val="0"/>
          <w:numId w:val="2"/>
        </w:numPr>
      </w:pPr>
      <w:r w:rsidRPr="00CB2033">
        <w:rPr>
          <w:b/>
        </w:rPr>
        <w:t>Le disque P</w:t>
      </w:r>
      <w:r>
        <w:t xml:space="preserve">  est mis à disposition du </w:t>
      </w:r>
      <w:proofErr w:type="spellStart"/>
      <w:r w:rsidRPr="00731A05">
        <w:rPr>
          <w:i/>
        </w:rPr>
        <w:t>Cedre</w:t>
      </w:r>
      <w:proofErr w:type="spellEnd"/>
      <w:r>
        <w:t xml:space="preserve"> par l’</w:t>
      </w:r>
      <w:r w:rsidRPr="00731A05">
        <w:rPr>
          <w:i/>
        </w:rPr>
        <w:t>Ifremer</w:t>
      </w:r>
      <w:r>
        <w:t xml:space="preserve">. Il regroupe des sources logicielles. </w:t>
      </w:r>
    </w:p>
    <w:p w:rsidR="00166667" w:rsidRDefault="00166667" w:rsidP="00193C8A">
      <w:pPr>
        <w:spacing w:line="240" w:lineRule="auto"/>
      </w:pPr>
      <w:r>
        <w:t>Des disques supplémentaires peuvent être connectés selon l’activité des utilisateurs.</w:t>
      </w:r>
      <w:bookmarkStart w:id="7" w:name="_GoBack"/>
      <w:bookmarkEnd w:id="7"/>
    </w:p>
    <w:sectPr w:rsidR="0016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24F91"/>
    <w:multiLevelType w:val="hybridMultilevel"/>
    <w:tmpl w:val="1E6EB5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70A20"/>
    <w:multiLevelType w:val="hybridMultilevel"/>
    <w:tmpl w:val="6C4C1EB8"/>
    <w:lvl w:ilvl="0" w:tplc="1CD8E3D2">
      <w:start w:val="1"/>
      <w:numFmt w:val="decimal"/>
      <w:lvlText w:val="%1."/>
      <w:lvlJc w:val="left"/>
      <w:pPr>
        <w:ind w:left="1080" w:hanging="360"/>
      </w:pPr>
      <w:rPr>
        <w:b/>
        <w:color w:val="000000" w:themeColor="text1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2D163B"/>
    <w:multiLevelType w:val="hybridMultilevel"/>
    <w:tmpl w:val="282EAF80"/>
    <w:lvl w:ilvl="0" w:tplc="22D22D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67"/>
    <w:rsid w:val="00166667"/>
    <w:rsid w:val="00193C8A"/>
    <w:rsid w:val="008242F7"/>
    <w:rsid w:val="00D7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6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6667"/>
    <w:pPr>
      <w:ind w:left="720"/>
      <w:contextualSpacing/>
    </w:pPr>
  </w:style>
  <w:style w:type="table" w:styleId="Grilledutableau">
    <w:name w:val="Table Grid"/>
    <w:basedOn w:val="TableauNormal"/>
    <w:uiPriority w:val="59"/>
    <w:rsid w:val="0016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6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6667"/>
    <w:pPr>
      <w:ind w:left="720"/>
      <w:contextualSpacing/>
    </w:pPr>
  </w:style>
  <w:style w:type="table" w:styleId="Grilledutableau">
    <w:name w:val="Table Grid"/>
    <w:basedOn w:val="TableauNormal"/>
    <w:uiPriority w:val="59"/>
    <w:rsid w:val="0016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Dessin_Microsoft_Visio111111.vs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794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CEDRE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JONCKHEERE, Cedre Cedre CEDRE-INFORMATION</dc:creator>
  <cp:lastModifiedBy>Pascal JONCKHEERE, Cedre Cedre CEDRE-INFORMATION</cp:lastModifiedBy>
  <cp:revision>2</cp:revision>
  <dcterms:created xsi:type="dcterms:W3CDTF">2018-11-15T13:04:00Z</dcterms:created>
  <dcterms:modified xsi:type="dcterms:W3CDTF">2018-11-27T12:56:00Z</dcterms:modified>
</cp:coreProperties>
</file>